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-493" w:tblpY="-368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8"/>
        <w:gridCol w:w="1737"/>
        <w:gridCol w:w="1159"/>
        <w:gridCol w:w="2021"/>
        <w:gridCol w:w="1515"/>
      </w:tblGrid>
      <w:tr w:rsidR="00AA4857" w:rsidRPr="00092214" w14:paraId="6543F1CC" w14:textId="77777777" w:rsidTr="00AA4857">
        <w:trPr>
          <w:trHeight w:val="227"/>
        </w:trPr>
        <w:tc>
          <w:tcPr>
            <w:tcW w:w="10240" w:type="dxa"/>
            <w:gridSpan w:val="5"/>
            <w:vAlign w:val="center"/>
          </w:tcPr>
          <w:p w14:paraId="25A27A8B" w14:textId="77777777" w:rsidR="00AA4857" w:rsidRPr="00E84A41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11E5D">
              <w:rPr>
                <w:rFonts w:ascii="Times New Roman" w:hAnsi="Times New Roman"/>
                <w:sz w:val="20"/>
                <w:szCs w:val="20"/>
              </w:rPr>
              <w:t>Мир, безбедност и развој</w:t>
            </w:r>
          </w:p>
        </w:tc>
      </w:tr>
      <w:tr w:rsidR="00AA4857" w:rsidRPr="00092214" w14:paraId="69460F9B" w14:textId="77777777" w:rsidTr="00AA4857">
        <w:trPr>
          <w:trHeight w:val="227"/>
        </w:trPr>
        <w:tc>
          <w:tcPr>
            <w:tcW w:w="10240" w:type="dxa"/>
            <w:gridSpan w:val="5"/>
            <w:vAlign w:val="center"/>
          </w:tcPr>
          <w:p w14:paraId="7AA00E00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611E5D">
              <w:rPr>
                <w:rFonts w:ascii="Times New Roman" w:hAnsi="Times New Roman"/>
                <w:sz w:val="20"/>
                <w:szCs w:val="20"/>
                <w:lang w:val="sr-Cyrl-CS"/>
              </w:rPr>
              <w:t>Студије развоја: приступи, актери и теме</w:t>
            </w:r>
          </w:p>
        </w:tc>
      </w:tr>
      <w:tr w:rsidR="00AA4857" w:rsidRPr="00092214" w14:paraId="68DAD931" w14:textId="77777777" w:rsidTr="00AA4857">
        <w:trPr>
          <w:trHeight w:val="227"/>
        </w:trPr>
        <w:tc>
          <w:tcPr>
            <w:tcW w:w="10240" w:type="dxa"/>
            <w:gridSpan w:val="5"/>
            <w:vAlign w:val="center"/>
          </w:tcPr>
          <w:p w14:paraId="3FD1A605" w14:textId="14A3765C" w:rsidR="00AA4857" w:rsidRPr="00455E51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611E5D">
              <w:rPr>
                <w:rFonts w:ascii="Times New Roman" w:hAnsi="Times New Roman"/>
                <w:sz w:val="20"/>
                <w:szCs w:val="20"/>
                <w:lang w:val="sr-Cyrl-CS"/>
              </w:rPr>
              <w:t>Александар Милошевић, Немања Џуверовић</w:t>
            </w:r>
            <w:r w:rsidR="00455E5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455E51">
              <w:rPr>
                <w:rFonts w:ascii="Times New Roman" w:hAnsi="Times New Roman"/>
                <w:sz w:val="20"/>
                <w:szCs w:val="20"/>
              </w:rPr>
              <w:t>Тијана Речевић</w:t>
            </w:r>
          </w:p>
        </w:tc>
      </w:tr>
      <w:tr w:rsidR="00AA4857" w:rsidRPr="00092214" w14:paraId="41FDA2E2" w14:textId="77777777" w:rsidTr="00AA4857">
        <w:trPr>
          <w:trHeight w:val="227"/>
        </w:trPr>
        <w:tc>
          <w:tcPr>
            <w:tcW w:w="10240" w:type="dxa"/>
            <w:gridSpan w:val="5"/>
            <w:vAlign w:val="center"/>
          </w:tcPr>
          <w:p w14:paraId="2ECB22AA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611E5D">
              <w:rPr>
                <w:rFonts w:ascii="Times New Roman" w:hAnsi="Times New Roman"/>
                <w:sz w:val="20"/>
                <w:szCs w:val="20"/>
                <w:lang w:val="sr-Cyrl-CS"/>
              </w:rPr>
              <w:t>Обавезан</w:t>
            </w:r>
          </w:p>
        </w:tc>
      </w:tr>
      <w:tr w:rsidR="00AA4857" w:rsidRPr="00092214" w14:paraId="57FDA8A3" w14:textId="77777777" w:rsidTr="00AA4857">
        <w:trPr>
          <w:trHeight w:val="227"/>
        </w:trPr>
        <w:tc>
          <w:tcPr>
            <w:tcW w:w="10240" w:type="dxa"/>
            <w:gridSpan w:val="5"/>
            <w:vAlign w:val="center"/>
          </w:tcPr>
          <w:p w14:paraId="3A5E8AC0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611E5D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AA4857" w:rsidRPr="00092214" w14:paraId="350F49D8" w14:textId="77777777" w:rsidTr="00AA4857">
        <w:trPr>
          <w:trHeight w:val="227"/>
        </w:trPr>
        <w:tc>
          <w:tcPr>
            <w:tcW w:w="10240" w:type="dxa"/>
            <w:gridSpan w:val="5"/>
            <w:vAlign w:val="center"/>
          </w:tcPr>
          <w:p w14:paraId="393B5A98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AA4857" w:rsidRPr="00092214" w14:paraId="3E5AAC8F" w14:textId="77777777" w:rsidTr="00AA4857">
        <w:trPr>
          <w:trHeight w:val="227"/>
        </w:trPr>
        <w:tc>
          <w:tcPr>
            <w:tcW w:w="10240" w:type="dxa"/>
            <w:gridSpan w:val="5"/>
            <w:vAlign w:val="center"/>
          </w:tcPr>
          <w:p w14:paraId="2690A808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68AF61A" w14:textId="77777777" w:rsidR="00AA4857" w:rsidRDefault="00AA4857" w:rsidP="00AA485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11E5D">
              <w:rPr>
                <w:rFonts w:ascii="Times New Roman" w:hAnsi="Times New Roman"/>
                <w:sz w:val="20"/>
                <w:szCs w:val="20"/>
                <w:lang w:val="sr-Cyrl-CS"/>
              </w:rPr>
              <w:t>Циљ предмета је упознавање студената са кључним концептима, теоријама, стратегијама, актерима и темама. Током наставе ће бити анализиране значајне теме из области развоја, као што су: глобализација,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улога</w:t>
            </w:r>
            <w:r w:rsidRPr="00611E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развојних актера</w:t>
            </w:r>
            <w:r w:rsidRPr="00611E5D">
              <w:rPr>
                <w:rFonts w:ascii="Times New Roman" w:hAnsi="Times New Roman"/>
                <w:sz w:val="20"/>
                <w:szCs w:val="20"/>
                <w:lang w:val="sr-Cyrl-CS"/>
              </w:rPr>
              <w:t>, сиромаштво и искључивање, миграције, међународна трговина, дужничка криза, веза мира, сукоба и развоја, итд. Предмет ће се бавити и утицајем развојне помоћи различитих донатора на развој неразвијених земаља. Улога нових развојних актера као што су невладине организације, фондације и транснационалне корпорације ће такође бити истражена. О развојним теоријама, стратегијама и најважнијим концептима биће критички разговарано с циљем да студентима буде предочене различите перспективе институционалне архитектуре и политичког контекста у коме се стварају и имплементирају конкретне политике.</w:t>
            </w:r>
          </w:p>
          <w:p w14:paraId="6C1009F3" w14:textId="77777777" w:rsidR="00AA4857" w:rsidRPr="00611E5D" w:rsidRDefault="00AA4857" w:rsidP="00AA485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A4857" w:rsidRPr="00092214" w14:paraId="37573FBA" w14:textId="77777777" w:rsidTr="00AA4857">
        <w:trPr>
          <w:trHeight w:val="227"/>
        </w:trPr>
        <w:tc>
          <w:tcPr>
            <w:tcW w:w="10240" w:type="dxa"/>
            <w:gridSpan w:val="5"/>
            <w:vAlign w:val="center"/>
          </w:tcPr>
          <w:p w14:paraId="379AB866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5A101B6" w14:textId="77777777" w:rsidR="00AA4857" w:rsidRPr="00611E5D" w:rsidRDefault="00AA4857" w:rsidP="00AA485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1E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Овај предмет би студентима требало да омогући разумевање и критичку анализу кључних развојних тема, теорија и </w:t>
            </w:r>
            <w:r w:rsidRPr="00611E5D">
              <w:rPr>
                <w:rFonts w:ascii="Times New Roman" w:hAnsi="Times New Roman"/>
                <w:sz w:val="20"/>
                <w:szCs w:val="20"/>
              </w:rPr>
              <w:t>перспектива. Кроз анализу студија случаја студенти би требало да унапреде своје познавање друштвених, економских и политичких питања која утичу на развојне могућности постконфликтних земаља. Студенти би, такође, требало да стекну способност критичког разматрања најважнијих конкурентних приступа у циљу објашњења зашто су неке земље богатије и имају боље развојне исходе од других.</w:t>
            </w:r>
          </w:p>
          <w:p w14:paraId="4CCB8918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A4857" w:rsidRPr="00092214" w14:paraId="4DEB1A6C" w14:textId="77777777" w:rsidTr="00AA4857">
        <w:trPr>
          <w:trHeight w:val="227"/>
        </w:trPr>
        <w:tc>
          <w:tcPr>
            <w:tcW w:w="10240" w:type="dxa"/>
            <w:gridSpan w:val="5"/>
            <w:vAlign w:val="center"/>
          </w:tcPr>
          <w:p w14:paraId="29348C87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FFFD53B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4A42F7E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</w:pPr>
          </w:p>
          <w:p w14:paraId="59BEE6AA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>1.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Дефинисање и одређење развоја</w:t>
            </w: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 </w:t>
            </w:r>
          </w:p>
          <w:p w14:paraId="0BA3E532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2.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Мерење развоја</w:t>
            </w:r>
          </w:p>
          <w:p w14:paraId="299C760C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3.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Теорије модернизације и раста</w:t>
            </w:r>
          </w:p>
          <w:p w14:paraId="72697DC0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4.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Теорије развоја на Глобалном југу</w:t>
            </w:r>
          </w:p>
          <w:p w14:paraId="540A3552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5.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Актери међународног развоја 1: Државе и (не)формалне институције </w:t>
            </w:r>
          </w:p>
          <w:p w14:paraId="26AC6D52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6. </w:t>
            </w:r>
            <w:r w:rsidRPr="007B0124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Актери међународног развоја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2</w:t>
            </w: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Организације, невладине организације и фондације</w:t>
            </w:r>
          </w:p>
          <w:p w14:paraId="3FEAB729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7. </w:t>
            </w:r>
            <w:r w:rsidRPr="007B0124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>Актери међународног развоја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3</w:t>
            </w: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Транснационалне корпорације</w:t>
            </w:r>
          </w:p>
          <w:p w14:paraId="2A81679A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8.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Трговина и развој</w:t>
            </w:r>
          </w:p>
          <w:p w14:paraId="41705244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9.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Мир, сукоб и развој</w:t>
            </w:r>
          </w:p>
          <w:p w14:paraId="0D10D3F2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10.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Дужничка криза, глобализација и развој</w:t>
            </w:r>
          </w:p>
          <w:p w14:paraId="599FAB34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11.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Међународни развој и миграције</w:t>
            </w:r>
          </w:p>
          <w:p w14:paraId="5D77BDE2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CS"/>
              </w:rPr>
              <w:t xml:space="preserve">12.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Развојна помоћ</w:t>
            </w:r>
          </w:p>
          <w:p w14:paraId="55BC78B1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13.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Животна средина и развој</w:t>
            </w:r>
          </w:p>
          <w:p w14:paraId="3A6F063A" w14:textId="77777777" w:rsidR="00AA4857" w:rsidRPr="00E84A41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14.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Будућност развоја</w:t>
            </w:r>
          </w:p>
          <w:p w14:paraId="504EB670" w14:textId="77777777" w:rsidR="00AA4857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E84A41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15.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Испит</w:t>
            </w:r>
          </w:p>
          <w:p w14:paraId="76B9B895" w14:textId="77777777" w:rsidR="00AA4857" w:rsidRPr="001C1714" w:rsidRDefault="00AA4857" w:rsidP="00AA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</w:p>
        </w:tc>
      </w:tr>
      <w:tr w:rsidR="00AA4857" w:rsidRPr="00092214" w14:paraId="53F2D4ED" w14:textId="77777777" w:rsidTr="00AA4857">
        <w:trPr>
          <w:trHeight w:val="227"/>
        </w:trPr>
        <w:tc>
          <w:tcPr>
            <w:tcW w:w="10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8976" w14:textId="77777777" w:rsidR="00AA4857" w:rsidRDefault="00AA4857" w:rsidP="00AA4857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C17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14:paraId="6BE340BE" w14:textId="77777777" w:rsidR="00AA4857" w:rsidRPr="001C1714" w:rsidRDefault="00AA4857" w:rsidP="00AA4857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0837A0CE" w14:textId="77777777" w:rsidR="00AA4857" w:rsidRPr="00E84A41" w:rsidRDefault="00AA4857" w:rsidP="00AA4857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4A41">
              <w:rPr>
                <w:rFonts w:ascii="Times New Roman" w:hAnsi="Times New Roman"/>
                <w:sz w:val="20"/>
                <w:szCs w:val="20"/>
                <w:lang w:val="en-US"/>
              </w:rPr>
              <w:t>Haslam, P., Shafer, J., Beaudet, P., 2017, Introduction to International Development: Approaches, Actors, Issues, and Practice, Oxford University Press Canada, Ontario, Chapters: 1,3,4,6,7-11,14,15,17,21; Wolf, M., 2005, Why Globalization Works, Yale Nota Bene, Yale University Press, New Haven and London, Chapter 11</w:t>
            </w:r>
            <w:r w:rsidRPr="00E84A4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; </w:t>
            </w:r>
            <w:r w:rsidRPr="00E84A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Rugraf, E., Sànchez-Ancochea, D., Sumner, A., 2009, Transnational Corporations and Development Policy, Palgrave Macmillan, Basingstoke, UK. Part I; Moyo, D., 2009, Dead Aid, Allen Lane, London, Chapters 1-4, 6-7; Easterly, W., 2008, Can the West Save Africa, NBER Working Paper No. 14363; Beswick, D., Jackson, P., 2011, Conflict, Security and Development: An Introduction, Routledge; O' Gorman, E., 2011, Conflict and Development: Development Matters, Zed Books; Gates, S., Hegre, H., Nygård, H. M., &amp; Strand, H., 2012, Development Consequences of Armed Conflict, World Development, 40(9); Barron, P., Woolcock, M., &amp; Diprose, R., 2011, Contesting Development: Participatory Projects and Local Conflict Dynamics in Indonesia, Yale University Press; Rostow, </w:t>
            </w:r>
            <w:r w:rsidRPr="00E84A41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W. W., 2008, The Five Stages of Growth, In: Development and Underdevelopment: The Political Economy of Global Inequality (4th ed), by Seligson, M. and John T. Passe-Smith, J. (Eds.), Lynne Rienner Publishers, pp. 173–180; Marber, P., 2004, Globalization and its contents, World Policy Journal 21.4, pp. 29–37; Sachs, J., 2005, The end of poverty: economic possibilities for our time. New York: Penguin Press, Chapters: 1,3,4,6,13; Easterly, W., 2006, The White Man’s Burden: Why the West’s Efforts to Aid the Rest Have Done So Much Ill and So Little Good. New York: Penguin, Chapters: 2-3, 5-6; Solow, R., 1956, A Contribution to the Theory of Economic Growth, The Quarterly Journal of Development Economics 70, no. 1, pp. 65–94; Williamson, J., 1990, What Washington Means by Policy Reform, Latin American Adjustment: How Much has Happened 7, pp. 7–20; Rodrik, D., 2000, Institutions for High-quality Growth: What They Are and How to Acquire Them,  Studies in Comparative International Development 35, no. 3, pp.3-31; Weiss, T. G., 2000, Governance, Good Governance and Global Governance: Conceptual and Actual Challenges, Third World Quarterly 21, no. 5, pp. 795–814; Acemoglu, D., and Robinson, J. A., 2012, Why Nations Fail: The Origins of Power, Prosperity, and Poverty. Vol. 4. Crown Business, Chapter 15;</w:t>
            </w:r>
            <w:r w:rsidRPr="00E84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84A41">
              <w:rPr>
                <w:rFonts w:ascii="Times New Roman" w:hAnsi="Times New Roman"/>
                <w:sz w:val="20"/>
                <w:szCs w:val="20"/>
                <w:lang w:val="en-US"/>
              </w:rPr>
              <w:t>De Haas, H., 2010, Migration and Development: A Theoretical Perspective. The International Migration Review 44, 1, pp. 227-264; Lavenex, S, and Kunz, R., 2008, The Migration–Development Nexus in EU External Relations, Journal of European Integration 30, 3, pp. 439-457; Mac Ginty, R. and Williams, A., 2016. Conflict and Development, Routledge, London.</w:t>
            </w:r>
          </w:p>
          <w:p w14:paraId="5920A1FA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A4857" w:rsidRPr="00092214" w14:paraId="3EDECF77" w14:textId="77777777" w:rsidTr="00AA4857">
        <w:trPr>
          <w:trHeight w:val="227"/>
        </w:trPr>
        <w:tc>
          <w:tcPr>
            <w:tcW w:w="3808" w:type="dxa"/>
            <w:vAlign w:val="center"/>
          </w:tcPr>
          <w:p w14:paraId="25DF7186" w14:textId="77777777" w:rsidR="00AA4857" w:rsidRPr="007C73BF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: 60</w:t>
            </w:r>
          </w:p>
        </w:tc>
        <w:tc>
          <w:tcPr>
            <w:tcW w:w="2896" w:type="dxa"/>
            <w:gridSpan w:val="2"/>
            <w:vAlign w:val="center"/>
          </w:tcPr>
          <w:p w14:paraId="0812EAF7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536" w:type="dxa"/>
            <w:gridSpan w:val="2"/>
            <w:vAlign w:val="center"/>
          </w:tcPr>
          <w:p w14:paraId="58CCAB91" w14:textId="3EECB2D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 </w:t>
            </w:r>
          </w:p>
        </w:tc>
      </w:tr>
      <w:tr w:rsidR="00AA4857" w:rsidRPr="00092214" w14:paraId="4938C619" w14:textId="77777777" w:rsidTr="00AA4857">
        <w:trPr>
          <w:trHeight w:val="227"/>
        </w:trPr>
        <w:tc>
          <w:tcPr>
            <w:tcW w:w="10240" w:type="dxa"/>
            <w:gridSpan w:val="5"/>
            <w:vAlign w:val="center"/>
          </w:tcPr>
          <w:p w14:paraId="04C9D064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D4C3CBB" w14:textId="77777777" w:rsidR="00AA4857" w:rsidRPr="007C73BF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Предавања, дискусије, приказ књиге, студентске презентације, писани рад</w:t>
            </w:r>
          </w:p>
          <w:p w14:paraId="00C2B8D0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A4857" w:rsidRPr="00092214" w14:paraId="0A3DD537" w14:textId="77777777" w:rsidTr="00AA4857">
        <w:trPr>
          <w:trHeight w:val="227"/>
        </w:trPr>
        <w:tc>
          <w:tcPr>
            <w:tcW w:w="10240" w:type="dxa"/>
            <w:gridSpan w:val="5"/>
            <w:vAlign w:val="center"/>
          </w:tcPr>
          <w:p w14:paraId="22149250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AA4857" w:rsidRPr="00092214" w14:paraId="7D3014EC" w14:textId="77777777" w:rsidTr="00AA4857">
        <w:trPr>
          <w:trHeight w:val="227"/>
        </w:trPr>
        <w:tc>
          <w:tcPr>
            <w:tcW w:w="3808" w:type="dxa"/>
            <w:vAlign w:val="center"/>
          </w:tcPr>
          <w:p w14:paraId="012963C5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37" w:type="dxa"/>
            <w:vAlign w:val="center"/>
          </w:tcPr>
          <w:p w14:paraId="2BE5264E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0FB387C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10B2AA3B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139459B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AA4857" w:rsidRPr="00092214" w14:paraId="0B34D40B" w14:textId="77777777" w:rsidTr="00AA4857">
        <w:trPr>
          <w:trHeight w:val="227"/>
        </w:trPr>
        <w:tc>
          <w:tcPr>
            <w:tcW w:w="3808" w:type="dxa"/>
            <w:vAlign w:val="center"/>
          </w:tcPr>
          <w:p w14:paraId="389FA07A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приказ књиге</w:t>
            </w:r>
          </w:p>
        </w:tc>
        <w:tc>
          <w:tcPr>
            <w:tcW w:w="1737" w:type="dxa"/>
            <w:vAlign w:val="center"/>
          </w:tcPr>
          <w:p w14:paraId="5EDC386B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416D4161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771FE48" w14:textId="77777777" w:rsidR="00AA4857" w:rsidRPr="007C73BF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C73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50</w:t>
            </w:r>
          </w:p>
        </w:tc>
      </w:tr>
      <w:tr w:rsidR="00AA4857" w:rsidRPr="00092214" w14:paraId="067746A5" w14:textId="77777777" w:rsidTr="00AA4857">
        <w:trPr>
          <w:trHeight w:val="227"/>
        </w:trPr>
        <w:tc>
          <w:tcPr>
            <w:tcW w:w="3808" w:type="dxa"/>
            <w:vAlign w:val="center"/>
          </w:tcPr>
          <w:p w14:paraId="04B77334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37" w:type="dxa"/>
            <w:vAlign w:val="center"/>
          </w:tcPr>
          <w:p w14:paraId="0CCB5721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6FDA3A2B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1F671C5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A4857" w:rsidRPr="00092214" w14:paraId="1AE3F884" w14:textId="77777777" w:rsidTr="00AA4857">
        <w:trPr>
          <w:trHeight w:val="227"/>
        </w:trPr>
        <w:tc>
          <w:tcPr>
            <w:tcW w:w="3808" w:type="dxa"/>
            <w:vAlign w:val="center"/>
          </w:tcPr>
          <w:p w14:paraId="28DDE4A3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737" w:type="dxa"/>
            <w:vAlign w:val="center"/>
          </w:tcPr>
          <w:p w14:paraId="6398F9A2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7EADB36F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8C9A5A1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A4857" w:rsidRPr="00092214" w14:paraId="3094814E" w14:textId="77777777" w:rsidTr="00AA4857">
        <w:trPr>
          <w:trHeight w:val="227"/>
        </w:trPr>
        <w:tc>
          <w:tcPr>
            <w:tcW w:w="3808" w:type="dxa"/>
            <w:vAlign w:val="center"/>
          </w:tcPr>
          <w:p w14:paraId="36C1B06D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</w:t>
            </w:r>
          </w:p>
        </w:tc>
        <w:tc>
          <w:tcPr>
            <w:tcW w:w="1737" w:type="dxa"/>
            <w:vAlign w:val="center"/>
          </w:tcPr>
          <w:p w14:paraId="3F9A2296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172D97EE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14:paraId="4B2A4B38" w14:textId="77777777" w:rsidR="00AA4857" w:rsidRPr="00092214" w:rsidRDefault="00AA4857" w:rsidP="00AA48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E85939D" w14:textId="77777777" w:rsidR="00EC798E" w:rsidRPr="007E5B50" w:rsidRDefault="00EC798E">
      <w:pPr>
        <w:rPr>
          <w:lang w:val="sr-Cyrl-CS"/>
        </w:rPr>
      </w:pPr>
    </w:p>
    <w:sectPr w:rsidR="00EC798E" w:rsidRPr="007E5B5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50"/>
    <w:rsid w:val="00036551"/>
    <w:rsid w:val="000F6B41"/>
    <w:rsid w:val="0015241A"/>
    <w:rsid w:val="001A6E51"/>
    <w:rsid w:val="001C1714"/>
    <w:rsid w:val="001D447F"/>
    <w:rsid w:val="00240022"/>
    <w:rsid w:val="00273840"/>
    <w:rsid w:val="0036648B"/>
    <w:rsid w:val="003C0853"/>
    <w:rsid w:val="00455E51"/>
    <w:rsid w:val="0048728F"/>
    <w:rsid w:val="004C48FB"/>
    <w:rsid w:val="0056490E"/>
    <w:rsid w:val="00611E5D"/>
    <w:rsid w:val="0064704A"/>
    <w:rsid w:val="0067498E"/>
    <w:rsid w:val="006805BF"/>
    <w:rsid w:val="006C0619"/>
    <w:rsid w:val="006F3BFC"/>
    <w:rsid w:val="00742012"/>
    <w:rsid w:val="00794EEF"/>
    <w:rsid w:val="007B0124"/>
    <w:rsid w:val="007C73BF"/>
    <w:rsid w:val="007E5B50"/>
    <w:rsid w:val="008D0E3C"/>
    <w:rsid w:val="008F619F"/>
    <w:rsid w:val="00900337"/>
    <w:rsid w:val="00972380"/>
    <w:rsid w:val="00983EC2"/>
    <w:rsid w:val="00994E06"/>
    <w:rsid w:val="009F16F0"/>
    <w:rsid w:val="00A30668"/>
    <w:rsid w:val="00A77B02"/>
    <w:rsid w:val="00A86DB0"/>
    <w:rsid w:val="00AA4857"/>
    <w:rsid w:val="00C4423F"/>
    <w:rsid w:val="00C860BB"/>
    <w:rsid w:val="00C92E24"/>
    <w:rsid w:val="00CF76AF"/>
    <w:rsid w:val="00D509EB"/>
    <w:rsid w:val="00DA188A"/>
    <w:rsid w:val="00DB1C17"/>
    <w:rsid w:val="00DB7719"/>
    <w:rsid w:val="00E84A41"/>
    <w:rsid w:val="00E85E7C"/>
    <w:rsid w:val="00EC38F8"/>
    <w:rsid w:val="00EC798E"/>
    <w:rsid w:val="00EE3D8B"/>
    <w:rsid w:val="00F144B1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5C3E3"/>
  <w15:chartTrackingRefBased/>
  <w15:docId w15:val="{755E08AB-D215-0E49-84B2-9EABE98D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  <w:lang w:val="sr-Cyrl-R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cp:keywords/>
  <cp:lastModifiedBy>Nemanja Dzuverovic</cp:lastModifiedBy>
  <cp:revision>3</cp:revision>
  <dcterms:created xsi:type="dcterms:W3CDTF">2021-04-27T08:33:00Z</dcterms:created>
  <dcterms:modified xsi:type="dcterms:W3CDTF">2021-06-13T16:45:00Z</dcterms:modified>
</cp:coreProperties>
</file>